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3C62A4" w14:textId="16D09ABB" w:rsidR="006906EA" w:rsidRPr="006906EA" w:rsidRDefault="006906EA" w:rsidP="006906EA">
      <w:pPr>
        <w:suppressAutoHyphens w:val="0"/>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p>
    <w:p w14:paraId="32D55D51" w14:textId="77777777" w:rsidR="006906EA" w:rsidRDefault="006906EA" w:rsidP="006906EA">
      <w:pPr>
        <w:suppressAutoHyphens w:val="0"/>
        <w:spacing w:before="100" w:beforeAutospacing="1" w:after="100" w:afterAutospacing="1" w:line="240" w:lineRule="auto"/>
        <w:outlineLvl w:val="1"/>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Zał. nr 1 </w:t>
      </w:r>
    </w:p>
    <w:p w14:paraId="6DA11A99" w14:textId="6A6EAC50" w:rsidR="006906EA" w:rsidRPr="006906EA" w:rsidRDefault="006906EA" w:rsidP="006906EA">
      <w:pPr>
        <w:suppressAutoHyphens w:val="0"/>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Opis przedmiotu zamówienia</w:t>
      </w:r>
    </w:p>
    <w:p w14:paraId="58864482" w14:textId="77777777" w:rsidR="006906EA" w:rsidRPr="006906EA" w:rsidRDefault="006906EA" w:rsidP="006906EA">
      <w:pPr>
        <w:suppressAutoHyphens w:val="0"/>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1. Przedmiot zamówienia</w:t>
      </w:r>
    </w:p>
    <w:p w14:paraId="31FF22D8" w14:textId="77777777" w:rsidR="006906EA" w:rsidRPr="006906EA" w:rsidRDefault="006906EA" w:rsidP="00F31BC0">
      <w:pPr>
        <w:suppressAutoHyphens w:val="0"/>
        <w:spacing w:before="100" w:beforeAutospacing="1" w:after="100" w:afterAutospacing="1" w:line="240" w:lineRule="auto"/>
        <w:ind w:firstLine="708"/>
        <w:jc w:val="both"/>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Przedmiotem zamówienia jest świadczenie usług telefonii komórkowej oraz usług bezprzewodowej transmisji danych wraz z dostawą nowych terminali (telefonów komórkowych) dla Zamawiającego.</w:t>
      </w:r>
    </w:p>
    <w:p w14:paraId="23E8765D" w14:textId="77777777" w:rsidR="006906EA" w:rsidRPr="006906EA" w:rsidRDefault="006906EA" w:rsidP="006906EA">
      <w:p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 xml:space="preserve">Usługi będą świadczone przez okres </w:t>
      </w:r>
      <w:r w:rsidRPr="006906EA">
        <w:rPr>
          <w:rFonts w:ascii="Times New Roman" w:eastAsia="Times New Roman" w:hAnsi="Times New Roman" w:cs="Times New Roman"/>
          <w:b/>
          <w:bCs/>
          <w:sz w:val="24"/>
          <w:szCs w:val="24"/>
          <w:lang w:eastAsia="pl-PL"/>
        </w:rPr>
        <w:t>24 miesięcy</w:t>
      </w:r>
      <w:r w:rsidRPr="006906EA">
        <w:rPr>
          <w:rFonts w:ascii="Times New Roman" w:eastAsia="Times New Roman" w:hAnsi="Times New Roman" w:cs="Times New Roman"/>
          <w:sz w:val="24"/>
          <w:szCs w:val="24"/>
          <w:lang w:eastAsia="pl-PL"/>
        </w:rPr>
        <w:t xml:space="preserve"> od dnia zawarcia umowy.</w:t>
      </w:r>
    </w:p>
    <w:p w14:paraId="2811829D" w14:textId="77777777" w:rsidR="006906EA" w:rsidRPr="006906EA" w:rsidRDefault="006906EA" w:rsidP="006906EA">
      <w:pPr>
        <w:suppressAutoHyphens w:val="0"/>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2. Zakres zamówienia</w:t>
      </w:r>
    </w:p>
    <w:p w14:paraId="42CC76AF" w14:textId="77777777" w:rsidR="006906EA" w:rsidRPr="006906EA" w:rsidRDefault="006906EA" w:rsidP="006906EA">
      <w:p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W ramach realizacji zamówienia Wykonawca zobowiązany będzie do:</w:t>
      </w:r>
    </w:p>
    <w:p w14:paraId="38F1F383" w14:textId="4B0608AF" w:rsidR="006906EA" w:rsidRPr="006906EA" w:rsidRDefault="006906EA" w:rsidP="006906EA">
      <w:pPr>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 xml:space="preserve">Świadczenia usług telefonii komórkowej oraz bezprzewodowej transmisji danych zgodnie </w:t>
      </w:r>
      <w:r w:rsidR="00EF5991">
        <w:rPr>
          <w:rFonts w:ascii="Times New Roman" w:eastAsia="Times New Roman" w:hAnsi="Times New Roman" w:cs="Times New Roman"/>
          <w:sz w:val="24"/>
          <w:szCs w:val="24"/>
          <w:lang w:eastAsia="pl-PL"/>
        </w:rPr>
        <w:t xml:space="preserve">       </w:t>
      </w:r>
      <w:r w:rsidRPr="006906EA">
        <w:rPr>
          <w:rFonts w:ascii="Times New Roman" w:eastAsia="Times New Roman" w:hAnsi="Times New Roman" w:cs="Times New Roman"/>
          <w:sz w:val="24"/>
          <w:szCs w:val="24"/>
          <w:lang w:eastAsia="pl-PL"/>
        </w:rPr>
        <w:t>z wymaganiami określonymi w niniejszym opisie.</w:t>
      </w:r>
    </w:p>
    <w:p w14:paraId="3517BD8F" w14:textId="77777777" w:rsidR="006906EA" w:rsidRPr="006906EA" w:rsidRDefault="006906EA" w:rsidP="006906EA">
      <w:pPr>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Dostawy nowych, nieużywanych, fabrycznie zapakowanych terminali komórkowych.</w:t>
      </w:r>
    </w:p>
    <w:p w14:paraId="6ACFF009" w14:textId="77777777" w:rsidR="006906EA" w:rsidRPr="006906EA" w:rsidRDefault="006906EA" w:rsidP="006906EA">
      <w:pPr>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Zachowania pełnej dotychczasowej numeracji telefonicznej poprzez przeniesienie wszystkich numerów do sieci Wykonawcy, bez ponoszenia dodatkowych kosztów przez Zamawiającego.</w:t>
      </w:r>
    </w:p>
    <w:p w14:paraId="46388859" w14:textId="77777777" w:rsidR="006906EA" w:rsidRPr="006906EA" w:rsidRDefault="006906EA" w:rsidP="006906EA">
      <w:pPr>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Zapewnienia wymiany zagubionej, skradzionej lub uszkodzonej karty SIM bez naliczania dodatkowych opłat – koszt wymiany musi być wliczony w opłatę abonamentową.</w:t>
      </w:r>
    </w:p>
    <w:p w14:paraId="01D39A93" w14:textId="77777777" w:rsidR="006906EA" w:rsidRPr="006906EA" w:rsidRDefault="006906EA" w:rsidP="006906EA">
      <w:pPr>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Udostępnienia Zamawiającemu internetowej platformy do zarządzania usługami, umożliwiającej co najmniej:</w:t>
      </w:r>
    </w:p>
    <w:p w14:paraId="2DDD9D85" w14:textId="77777777" w:rsidR="006906EA" w:rsidRPr="006906EA" w:rsidRDefault="006906EA" w:rsidP="006906EA">
      <w:pPr>
        <w:numPr>
          <w:ilvl w:val="1"/>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zarządzanie numerami telefonicznymi,</w:t>
      </w:r>
    </w:p>
    <w:p w14:paraId="29F0BFED" w14:textId="77777777" w:rsidR="006906EA" w:rsidRPr="006906EA" w:rsidRDefault="006906EA" w:rsidP="006906EA">
      <w:pPr>
        <w:numPr>
          <w:ilvl w:val="1"/>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aktywację i dezaktywację usług,</w:t>
      </w:r>
    </w:p>
    <w:p w14:paraId="13FFB1F4" w14:textId="77777777" w:rsidR="006906EA" w:rsidRPr="006906EA" w:rsidRDefault="006906EA" w:rsidP="006906EA">
      <w:pPr>
        <w:numPr>
          <w:ilvl w:val="1"/>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blokowanie kart SIM,</w:t>
      </w:r>
    </w:p>
    <w:p w14:paraId="535AA2B9" w14:textId="77777777" w:rsidR="006906EA" w:rsidRPr="006906EA" w:rsidRDefault="006906EA" w:rsidP="006906EA">
      <w:pPr>
        <w:numPr>
          <w:ilvl w:val="1"/>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kontrolę wykorzystania pakietów,</w:t>
      </w:r>
    </w:p>
    <w:p w14:paraId="57217F2D" w14:textId="77777777" w:rsidR="006906EA" w:rsidRPr="006906EA" w:rsidRDefault="006906EA" w:rsidP="006906EA">
      <w:pPr>
        <w:numPr>
          <w:ilvl w:val="1"/>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dostęp do billingów i faktur,</w:t>
      </w:r>
    </w:p>
    <w:p w14:paraId="3B18D7BC" w14:textId="77777777" w:rsidR="006906EA" w:rsidRPr="006906EA" w:rsidRDefault="006906EA" w:rsidP="006906EA">
      <w:pPr>
        <w:numPr>
          <w:ilvl w:val="1"/>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generowanie raportów dotyczących wykorzystania usług.</w:t>
      </w:r>
    </w:p>
    <w:p w14:paraId="431920D6" w14:textId="77777777" w:rsidR="006906EA" w:rsidRPr="006906EA" w:rsidRDefault="006906EA" w:rsidP="006906EA">
      <w:pPr>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Zapewnienia wsparcia technicznego oraz obsługi klienta przez cały okres obowiązywania umowy.</w:t>
      </w:r>
    </w:p>
    <w:p w14:paraId="360D8DE8" w14:textId="77777777" w:rsidR="006906EA" w:rsidRPr="006906EA" w:rsidRDefault="006906EA" w:rsidP="006906EA">
      <w:pPr>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Dostarczenia kart SIM oraz terminali w terminie uzgodnionym z Zamawiającym.</w:t>
      </w:r>
    </w:p>
    <w:p w14:paraId="2A8A284C" w14:textId="44D87017" w:rsidR="005A1B2B" w:rsidRPr="005A1B2B" w:rsidRDefault="006906EA" w:rsidP="005A1B2B">
      <w:pPr>
        <w:suppressAutoHyphens w:val="0"/>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3. Wymagania dotyczące terminali</w:t>
      </w:r>
    </w:p>
    <w:p w14:paraId="1138A934"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Wykonawca przyzna Zamawiającemu Pulę Środków na Sprzęt, stanowiącą iloczyn wartości Koszyka Środków na Sprzęt oraz liczby 230 aktywnych głosowych kart SIM. Wartość Koszyka Środków na Sprzęt nie może być niższa niż 500,00 zł brutto na jedną głosową kartę SIM.</w:t>
      </w:r>
    </w:p>
    <w:p w14:paraId="45BFEF34"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Zamawiający będzie miał możliwość bieżącego monitorowania stanu dostępnych środków w Puli Środków na Sprzęt za pośrednictwem narzędzi udostępnionych przez Wykonawcę.</w:t>
      </w:r>
    </w:p>
    <w:p w14:paraId="6F488A62"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lastRenderedPageBreak/>
        <w:t>Warunkiem utrzymania pełnej wartości przyznanej Puli Środków na Sprzęt jest zachowanie przez Zamawiającego przez cały okres obowiązywania umowy co najmniej takiej liczby aktywnych głosowych kart SIM, dla której została przyznana pula.</w:t>
      </w:r>
    </w:p>
    <w:p w14:paraId="4CF1D267"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Zamawiający będzie uprawniony do wykorzystania Puli Środków na Sprzęt w dowolnym momencie obowiązywania umowy. Wartość nabywanego sprzętu będzie pomniejszać wartość dostępnej Puli Środków na Sprzęt zgodnie z aktualnym cennikiem detalicznym Wykonawcy dla klientów biznesowych, obowiązującym w dniu złożenia zamówienia.</w:t>
      </w:r>
    </w:p>
    <w:p w14:paraId="74219C8C"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 xml:space="preserve">Zakup urządzeń z wykorzystaniem Puli Środków na Sprzęt będzie możliwy przez cały okres obowiązywania umowy. Dla każdego zakupionego urządzenia Wykonawca wystawi fakturę VAT na kwotę </w:t>
      </w:r>
      <w:r w:rsidRPr="005A1B2B">
        <w:rPr>
          <w:rFonts w:ascii="Times New Roman" w:eastAsia="Times New Roman" w:hAnsi="Times New Roman" w:cs="Times New Roman"/>
          <w:b/>
          <w:bCs/>
          <w:sz w:val="24"/>
          <w:szCs w:val="24"/>
          <w:lang w:eastAsia="pl-PL"/>
        </w:rPr>
        <w:t>1,00 zł netto</w:t>
      </w:r>
      <w:r w:rsidRPr="005A1B2B">
        <w:rPr>
          <w:rFonts w:ascii="Times New Roman" w:eastAsia="Times New Roman" w:hAnsi="Times New Roman" w:cs="Times New Roman"/>
          <w:sz w:val="24"/>
          <w:szCs w:val="24"/>
          <w:lang w:eastAsia="pl-PL"/>
        </w:rPr>
        <w:t>, chyba że Zamawiający wystąpi z wnioskiem o wystawienie faktury na wyższą kwotę, nieprzekraczającą ceny netto urządzenia. Różnica pomiędzy ceną netto urządzenia a wartością wystawionej faktury zostanie rozliczona z dostępnej Puli Środków na Sprzęt.</w:t>
      </w:r>
    </w:p>
    <w:p w14:paraId="487F8C9D"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W ramach Puli Środków na Sprzęt Zamawiający będzie mógł nabywać dowolne urządzenia dostępne w aktualnym cenniku Wykonawcy dla klientów biznesowych, w szczególności:</w:t>
      </w:r>
    </w:p>
    <w:p w14:paraId="60423049" w14:textId="77777777" w:rsidR="005A1B2B" w:rsidRPr="005A1B2B" w:rsidRDefault="005A1B2B" w:rsidP="005A1B2B">
      <w:pPr>
        <w:numPr>
          <w:ilvl w:val="1"/>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telefony komórkowe,</w:t>
      </w:r>
    </w:p>
    <w:p w14:paraId="664344C6" w14:textId="77777777" w:rsidR="005A1B2B" w:rsidRPr="005A1B2B" w:rsidRDefault="005A1B2B" w:rsidP="005A1B2B">
      <w:pPr>
        <w:numPr>
          <w:ilvl w:val="1"/>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smartfony,</w:t>
      </w:r>
    </w:p>
    <w:p w14:paraId="3DB23B1E" w14:textId="77777777" w:rsidR="005A1B2B" w:rsidRPr="005A1B2B" w:rsidRDefault="005A1B2B" w:rsidP="005A1B2B">
      <w:pPr>
        <w:numPr>
          <w:ilvl w:val="1"/>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tablety,</w:t>
      </w:r>
    </w:p>
    <w:p w14:paraId="7992C9E8" w14:textId="77777777" w:rsidR="005A1B2B" w:rsidRPr="005A1B2B" w:rsidRDefault="005A1B2B" w:rsidP="005A1B2B">
      <w:pPr>
        <w:numPr>
          <w:ilvl w:val="1"/>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laptopy,</w:t>
      </w:r>
    </w:p>
    <w:p w14:paraId="0F58CB96" w14:textId="77777777" w:rsidR="005A1B2B" w:rsidRPr="005A1B2B" w:rsidRDefault="005A1B2B" w:rsidP="005A1B2B">
      <w:pPr>
        <w:numPr>
          <w:ilvl w:val="1"/>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routery,</w:t>
      </w:r>
    </w:p>
    <w:p w14:paraId="5C86E82C" w14:textId="77777777" w:rsidR="005A1B2B" w:rsidRPr="005A1B2B" w:rsidRDefault="005A1B2B" w:rsidP="005A1B2B">
      <w:pPr>
        <w:numPr>
          <w:ilvl w:val="1"/>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modemy GSM,</w:t>
      </w:r>
    </w:p>
    <w:p w14:paraId="3E85C00B"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Wszystkie dostarczone urządzenia muszą:</w:t>
      </w:r>
      <w:r w:rsidRPr="005A1B2B">
        <w:rPr>
          <w:rFonts w:ascii="Times New Roman" w:eastAsia="Times New Roman" w:hAnsi="Times New Roman" w:cs="Times New Roman"/>
          <w:sz w:val="24"/>
          <w:szCs w:val="24"/>
          <w:lang w:eastAsia="pl-PL"/>
        </w:rPr>
        <w:br/>
        <w:t>a) być fabrycznie nowe i nieużywane,</w:t>
      </w:r>
      <w:r w:rsidRPr="005A1B2B">
        <w:rPr>
          <w:rFonts w:ascii="Times New Roman" w:eastAsia="Times New Roman" w:hAnsi="Times New Roman" w:cs="Times New Roman"/>
          <w:sz w:val="24"/>
          <w:szCs w:val="24"/>
          <w:lang w:eastAsia="pl-PL"/>
        </w:rPr>
        <w:br/>
        <w:t>b) pochodzić z oficjalnego kanału dystrybucji producenta na rynek polski,</w:t>
      </w:r>
      <w:r w:rsidRPr="005A1B2B">
        <w:rPr>
          <w:rFonts w:ascii="Times New Roman" w:eastAsia="Times New Roman" w:hAnsi="Times New Roman" w:cs="Times New Roman"/>
          <w:sz w:val="24"/>
          <w:szCs w:val="24"/>
          <w:lang w:eastAsia="pl-PL"/>
        </w:rPr>
        <w:br/>
        <w:t>c) być wyposażone w komplet standardowych akcesoriów producenta,</w:t>
      </w:r>
      <w:r w:rsidRPr="005A1B2B">
        <w:rPr>
          <w:rFonts w:ascii="Times New Roman" w:eastAsia="Times New Roman" w:hAnsi="Times New Roman" w:cs="Times New Roman"/>
          <w:sz w:val="24"/>
          <w:szCs w:val="24"/>
          <w:lang w:eastAsia="pl-PL"/>
        </w:rPr>
        <w:br/>
        <w:t>d) nie posiadać blokady SIM Lock,</w:t>
      </w:r>
      <w:r w:rsidRPr="005A1B2B">
        <w:rPr>
          <w:rFonts w:ascii="Times New Roman" w:eastAsia="Times New Roman" w:hAnsi="Times New Roman" w:cs="Times New Roman"/>
          <w:sz w:val="24"/>
          <w:szCs w:val="24"/>
          <w:lang w:eastAsia="pl-PL"/>
        </w:rPr>
        <w:br/>
        <w:t>e) posiadać menu oraz dokumentację użytkownika w języku polskim,</w:t>
      </w:r>
      <w:r w:rsidRPr="005A1B2B">
        <w:rPr>
          <w:rFonts w:ascii="Times New Roman" w:eastAsia="Times New Roman" w:hAnsi="Times New Roman" w:cs="Times New Roman"/>
          <w:sz w:val="24"/>
          <w:szCs w:val="24"/>
          <w:lang w:eastAsia="pl-PL"/>
        </w:rPr>
        <w:br/>
        <w:t>f) być objęte gwarancją producenta na okres nie krótszy niż 12 miesięcy,</w:t>
      </w:r>
      <w:r w:rsidRPr="005A1B2B">
        <w:rPr>
          <w:rFonts w:ascii="Times New Roman" w:eastAsia="Times New Roman" w:hAnsi="Times New Roman" w:cs="Times New Roman"/>
          <w:sz w:val="24"/>
          <w:szCs w:val="24"/>
          <w:lang w:eastAsia="pl-PL"/>
        </w:rPr>
        <w:br/>
        <w:t xml:space="preserve">g) posiadać autoryzowany serwis gwarancyjny producenta realizowany w systemie </w:t>
      </w:r>
      <w:r w:rsidRPr="005A1B2B">
        <w:rPr>
          <w:rFonts w:ascii="Times New Roman" w:eastAsia="Times New Roman" w:hAnsi="Times New Roman" w:cs="Times New Roman"/>
          <w:b/>
          <w:bCs/>
          <w:sz w:val="24"/>
          <w:szCs w:val="24"/>
          <w:lang w:eastAsia="pl-PL"/>
        </w:rPr>
        <w:t>door-to-door</w:t>
      </w:r>
      <w:r w:rsidRPr="005A1B2B">
        <w:rPr>
          <w:rFonts w:ascii="Times New Roman" w:eastAsia="Times New Roman" w:hAnsi="Times New Roman" w:cs="Times New Roman"/>
          <w:sz w:val="24"/>
          <w:szCs w:val="24"/>
          <w:lang w:eastAsia="pl-PL"/>
        </w:rPr>
        <w:t>.</w:t>
      </w:r>
    </w:p>
    <w:p w14:paraId="2C253A97" w14:textId="77777777" w:rsidR="005A1B2B" w:rsidRPr="005A1B2B" w:rsidRDefault="005A1B2B" w:rsidP="005A1B2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5A1B2B">
        <w:rPr>
          <w:rFonts w:ascii="Times New Roman" w:eastAsia="Times New Roman" w:hAnsi="Times New Roman" w:cs="Times New Roman"/>
          <w:sz w:val="24"/>
          <w:szCs w:val="24"/>
          <w:lang w:eastAsia="pl-PL"/>
        </w:rPr>
        <w:t>Na każde żądanie Zamawiającego Wykonawca udostępni aktualny cennik detaliczny dla klientów biznesowych, stanowiący podstawę wyboru urządzeń oraz rozliczania wykorzystania Puli Środków na Sprzęt.</w:t>
      </w:r>
    </w:p>
    <w:p w14:paraId="5160B72B" w14:textId="77777777" w:rsidR="006906EA" w:rsidRPr="006906EA" w:rsidRDefault="006906EA" w:rsidP="006906EA">
      <w:pPr>
        <w:suppressAutoHyphens w:val="0"/>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4. Minimalne wymagania dotyczące świadczonych usług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8190"/>
        <w:gridCol w:w="1302"/>
      </w:tblGrid>
      <w:tr w:rsidR="006906EA" w:rsidRPr="006906EA" w14:paraId="7A300D81" w14:textId="77777777" w:rsidTr="006906EA">
        <w:trPr>
          <w:tblHeader/>
          <w:tblCellSpacing w:w="15" w:type="dxa"/>
        </w:trPr>
        <w:tc>
          <w:tcPr>
            <w:tcW w:w="0" w:type="auto"/>
            <w:vAlign w:val="center"/>
            <w:hideMark/>
          </w:tcPr>
          <w:p w14:paraId="065FC125" w14:textId="77777777" w:rsidR="006906EA" w:rsidRPr="006906EA" w:rsidRDefault="006906EA" w:rsidP="006906EA">
            <w:pPr>
              <w:suppressAutoHyphens w:val="0"/>
              <w:spacing w:after="0" w:line="240" w:lineRule="auto"/>
              <w:jc w:val="center"/>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Lp.</w:t>
            </w:r>
          </w:p>
        </w:tc>
        <w:tc>
          <w:tcPr>
            <w:tcW w:w="0" w:type="auto"/>
            <w:vAlign w:val="center"/>
            <w:hideMark/>
          </w:tcPr>
          <w:p w14:paraId="228157B9" w14:textId="77777777" w:rsidR="006906EA" w:rsidRPr="006906EA" w:rsidRDefault="006906EA" w:rsidP="006906EA">
            <w:pPr>
              <w:suppressAutoHyphens w:val="0"/>
              <w:spacing w:after="0" w:line="240" w:lineRule="auto"/>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Parametr</w:t>
            </w:r>
          </w:p>
        </w:tc>
        <w:tc>
          <w:tcPr>
            <w:tcW w:w="0" w:type="auto"/>
            <w:vAlign w:val="center"/>
            <w:hideMark/>
          </w:tcPr>
          <w:p w14:paraId="570F1F49" w14:textId="77777777" w:rsidR="006906EA" w:rsidRPr="006906EA" w:rsidRDefault="006906EA" w:rsidP="006906EA">
            <w:pPr>
              <w:suppressAutoHyphens w:val="0"/>
              <w:spacing w:after="0" w:line="240" w:lineRule="auto"/>
              <w:jc w:val="center"/>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Wymaganie</w:t>
            </w:r>
          </w:p>
        </w:tc>
      </w:tr>
      <w:tr w:rsidR="006906EA" w:rsidRPr="006906EA" w14:paraId="3DB0E98C" w14:textId="77777777" w:rsidTr="006906EA">
        <w:trPr>
          <w:tblCellSpacing w:w="15" w:type="dxa"/>
        </w:trPr>
        <w:tc>
          <w:tcPr>
            <w:tcW w:w="0" w:type="auto"/>
            <w:vAlign w:val="center"/>
            <w:hideMark/>
          </w:tcPr>
          <w:p w14:paraId="208313D6"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1</w:t>
            </w:r>
          </w:p>
        </w:tc>
        <w:tc>
          <w:tcPr>
            <w:tcW w:w="0" w:type="auto"/>
            <w:vAlign w:val="center"/>
            <w:hideMark/>
          </w:tcPr>
          <w:p w14:paraId="5F9CC9E3"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Liczba kart SIM do połączeń głosowych</w:t>
            </w:r>
          </w:p>
        </w:tc>
        <w:tc>
          <w:tcPr>
            <w:tcW w:w="0" w:type="auto"/>
            <w:vAlign w:val="center"/>
            <w:hideMark/>
          </w:tcPr>
          <w:p w14:paraId="1CF9FECE" w14:textId="0ED6202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2</w:t>
            </w:r>
            <w:r w:rsidR="00E46677">
              <w:rPr>
                <w:rFonts w:ascii="Times New Roman" w:eastAsia="Times New Roman" w:hAnsi="Times New Roman" w:cs="Times New Roman"/>
                <w:sz w:val="24"/>
                <w:szCs w:val="24"/>
                <w:lang w:eastAsia="pl-PL"/>
              </w:rPr>
              <w:t>30</w:t>
            </w:r>
            <w:r w:rsidRPr="006906EA">
              <w:rPr>
                <w:rFonts w:ascii="Times New Roman" w:eastAsia="Times New Roman" w:hAnsi="Times New Roman" w:cs="Times New Roman"/>
                <w:sz w:val="24"/>
                <w:szCs w:val="24"/>
                <w:lang w:eastAsia="pl-PL"/>
              </w:rPr>
              <w:t xml:space="preserve"> szt.</w:t>
            </w:r>
          </w:p>
        </w:tc>
      </w:tr>
      <w:tr w:rsidR="006906EA" w:rsidRPr="006906EA" w14:paraId="4B3E96E1" w14:textId="77777777" w:rsidTr="006906EA">
        <w:trPr>
          <w:tblCellSpacing w:w="15" w:type="dxa"/>
        </w:trPr>
        <w:tc>
          <w:tcPr>
            <w:tcW w:w="0" w:type="auto"/>
            <w:vAlign w:val="center"/>
            <w:hideMark/>
          </w:tcPr>
          <w:p w14:paraId="46FC68FD"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2</w:t>
            </w:r>
          </w:p>
        </w:tc>
        <w:tc>
          <w:tcPr>
            <w:tcW w:w="0" w:type="auto"/>
            <w:vAlign w:val="center"/>
            <w:hideMark/>
          </w:tcPr>
          <w:p w14:paraId="5C54968A"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Okres obowiązywania umowy</w:t>
            </w:r>
          </w:p>
        </w:tc>
        <w:tc>
          <w:tcPr>
            <w:tcW w:w="0" w:type="auto"/>
            <w:vAlign w:val="center"/>
            <w:hideMark/>
          </w:tcPr>
          <w:p w14:paraId="342003CD"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24 miesiące</w:t>
            </w:r>
          </w:p>
        </w:tc>
      </w:tr>
      <w:tr w:rsidR="006906EA" w:rsidRPr="006906EA" w14:paraId="380CC43D" w14:textId="77777777" w:rsidTr="006906EA">
        <w:trPr>
          <w:tblCellSpacing w:w="15" w:type="dxa"/>
        </w:trPr>
        <w:tc>
          <w:tcPr>
            <w:tcW w:w="0" w:type="auto"/>
            <w:vAlign w:val="center"/>
            <w:hideMark/>
          </w:tcPr>
          <w:p w14:paraId="3B2F138D"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3</w:t>
            </w:r>
          </w:p>
        </w:tc>
        <w:tc>
          <w:tcPr>
            <w:tcW w:w="0" w:type="auto"/>
            <w:vAlign w:val="center"/>
            <w:hideMark/>
          </w:tcPr>
          <w:p w14:paraId="180DCB96"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Opłata za krajowe połączenia głosowe do wszystkich krajowych sieci komórkowych oraz stacjonarnych</w:t>
            </w:r>
          </w:p>
        </w:tc>
        <w:tc>
          <w:tcPr>
            <w:tcW w:w="0" w:type="auto"/>
            <w:vAlign w:val="center"/>
            <w:hideMark/>
          </w:tcPr>
          <w:p w14:paraId="6447F848"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0,00 zł/min</w:t>
            </w:r>
          </w:p>
        </w:tc>
      </w:tr>
      <w:tr w:rsidR="006906EA" w:rsidRPr="006906EA" w14:paraId="42D9ED79" w14:textId="77777777" w:rsidTr="006906EA">
        <w:trPr>
          <w:tblCellSpacing w:w="15" w:type="dxa"/>
        </w:trPr>
        <w:tc>
          <w:tcPr>
            <w:tcW w:w="0" w:type="auto"/>
            <w:vAlign w:val="center"/>
            <w:hideMark/>
          </w:tcPr>
          <w:p w14:paraId="5CD12915"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4</w:t>
            </w:r>
          </w:p>
        </w:tc>
        <w:tc>
          <w:tcPr>
            <w:tcW w:w="0" w:type="auto"/>
            <w:vAlign w:val="center"/>
            <w:hideMark/>
          </w:tcPr>
          <w:p w14:paraId="5F21EB0F"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Wysyłanie wiadomości SMS i MMS do operatorów krajowych</w:t>
            </w:r>
          </w:p>
        </w:tc>
        <w:tc>
          <w:tcPr>
            <w:tcW w:w="0" w:type="auto"/>
            <w:vAlign w:val="center"/>
            <w:hideMark/>
          </w:tcPr>
          <w:p w14:paraId="334395E3"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0,00 zł</w:t>
            </w:r>
          </w:p>
        </w:tc>
      </w:tr>
      <w:tr w:rsidR="006906EA" w:rsidRPr="006906EA" w14:paraId="213DE58F" w14:textId="77777777" w:rsidTr="006906EA">
        <w:trPr>
          <w:tblCellSpacing w:w="15" w:type="dxa"/>
        </w:trPr>
        <w:tc>
          <w:tcPr>
            <w:tcW w:w="0" w:type="auto"/>
            <w:vAlign w:val="center"/>
            <w:hideMark/>
          </w:tcPr>
          <w:p w14:paraId="3D7803CA"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5</w:t>
            </w:r>
          </w:p>
        </w:tc>
        <w:tc>
          <w:tcPr>
            <w:tcW w:w="0" w:type="auto"/>
            <w:vAlign w:val="center"/>
            <w:hideMark/>
          </w:tcPr>
          <w:p w14:paraId="40362523" w14:textId="13A1BCFB"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Pakiet internetowy LTE/5G min. 50 GB miesięcznie</w:t>
            </w:r>
            <w:r w:rsidR="00AD09DD">
              <w:rPr>
                <w:rFonts w:ascii="Times New Roman" w:eastAsia="Times New Roman" w:hAnsi="Times New Roman" w:cs="Times New Roman"/>
                <w:sz w:val="24"/>
                <w:szCs w:val="24"/>
                <w:lang w:eastAsia="pl-PL"/>
              </w:rPr>
              <w:t xml:space="preserve"> dla wskazanych</w:t>
            </w:r>
            <w:r w:rsidR="00241A28">
              <w:rPr>
                <w:rFonts w:ascii="Times New Roman" w:eastAsia="Times New Roman" w:hAnsi="Times New Roman" w:cs="Times New Roman"/>
                <w:sz w:val="24"/>
                <w:szCs w:val="24"/>
                <w:lang w:eastAsia="pl-PL"/>
              </w:rPr>
              <w:t xml:space="preserve"> głosowych kart sim</w:t>
            </w:r>
          </w:p>
        </w:tc>
        <w:tc>
          <w:tcPr>
            <w:tcW w:w="0" w:type="auto"/>
            <w:vAlign w:val="center"/>
            <w:hideMark/>
          </w:tcPr>
          <w:p w14:paraId="783B97DD"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30 szt.</w:t>
            </w:r>
          </w:p>
        </w:tc>
      </w:tr>
      <w:tr w:rsidR="006906EA" w:rsidRPr="006906EA" w14:paraId="799AD0CC" w14:textId="77777777" w:rsidTr="006906EA">
        <w:trPr>
          <w:tblCellSpacing w:w="15" w:type="dxa"/>
        </w:trPr>
        <w:tc>
          <w:tcPr>
            <w:tcW w:w="0" w:type="auto"/>
            <w:vAlign w:val="center"/>
            <w:hideMark/>
          </w:tcPr>
          <w:p w14:paraId="5E9C648E"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6</w:t>
            </w:r>
          </w:p>
        </w:tc>
        <w:tc>
          <w:tcPr>
            <w:tcW w:w="0" w:type="auto"/>
            <w:vAlign w:val="center"/>
            <w:hideMark/>
          </w:tcPr>
          <w:p w14:paraId="30CA91F9" w14:textId="64C10DE0"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Pakiet internetowy LTE min. 5 GB miesięcznie</w:t>
            </w:r>
            <w:r w:rsidR="00241A28">
              <w:rPr>
                <w:rFonts w:ascii="Times New Roman" w:eastAsia="Times New Roman" w:hAnsi="Times New Roman" w:cs="Times New Roman"/>
                <w:sz w:val="24"/>
                <w:szCs w:val="24"/>
                <w:lang w:eastAsia="pl-PL"/>
              </w:rPr>
              <w:t xml:space="preserve"> dla pozostałych głosowych kart sim</w:t>
            </w:r>
          </w:p>
        </w:tc>
        <w:tc>
          <w:tcPr>
            <w:tcW w:w="0" w:type="auto"/>
            <w:vAlign w:val="center"/>
            <w:hideMark/>
          </w:tcPr>
          <w:p w14:paraId="664ED6FF" w14:textId="35BDF752" w:rsidR="006906EA" w:rsidRPr="006906EA" w:rsidRDefault="00E46677" w:rsidP="006906EA">
            <w:pPr>
              <w:suppressAutoHyphens w:val="0"/>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200</w:t>
            </w:r>
            <w:r w:rsidR="006906EA" w:rsidRPr="006906EA">
              <w:rPr>
                <w:rFonts w:ascii="Times New Roman" w:eastAsia="Times New Roman" w:hAnsi="Times New Roman" w:cs="Times New Roman"/>
                <w:sz w:val="24"/>
                <w:szCs w:val="24"/>
                <w:lang w:eastAsia="pl-PL"/>
              </w:rPr>
              <w:t xml:space="preserve"> szt.</w:t>
            </w:r>
          </w:p>
        </w:tc>
      </w:tr>
      <w:tr w:rsidR="006906EA" w:rsidRPr="006906EA" w14:paraId="68CA74A0" w14:textId="77777777" w:rsidTr="006906EA">
        <w:trPr>
          <w:tblCellSpacing w:w="15" w:type="dxa"/>
        </w:trPr>
        <w:tc>
          <w:tcPr>
            <w:tcW w:w="0" w:type="auto"/>
            <w:vAlign w:val="center"/>
            <w:hideMark/>
          </w:tcPr>
          <w:p w14:paraId="43490BFC"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7</w:t>
            </w:r>
          </w:p>
        </w:tc>
        <w:tc>
          <w:tcPr>
            <w:tcW w:w="0" w:type="auto"/>
            <w:vAlign w:val="center"/>
            <w:hideMark/>
          </w:tcPr>
          <w:p w14:paraId="645D8F59" w14:textId="77777777"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Internet mobilny LTE na kartę min. 50 GB</w:t>
            </w:r>
          </w:p>
        </w:tc>
        <w:tc>
          <w:tcPr>
            <w:tcW w:w="0" w:type="auto"/>
            <w:vAlign w:val="center"/>
            <w:hideMark/>
          </w:tcPr>
          <w:p w14:paraId="74512A23" w14:textId="68599F66" w:rsidR="006906EA" w:rsidRPr="006906EA" w:rsidRDefault="006906EA" w:rsidP="006906EA">
            <w:pPr>
              <w:suppressAutoHyphens w:val="0"/>
              <w:spacing w:after="0"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4</w:t>
            </w:r>
            <w:r w:rsidR="00E46677">
              <w:rPr>
                <w:rFonts w:ascii="Times New Roman" w:eastAsia="Times New Roman" w:hAnsi="Times New Roman" w:cs="Times New Roman"/>
                <w:sz w:val="24"/>
                <w:szCs w:val="24"/>
                <w:lang w:eastAsia="pl-PL"/>
              </w:rPr>
              <w:t>5</w:t>
            </w:r>
            <w:r w:rsidRPr="006906EA">
              <w:rPr>
                <w:rFonts w:ascii="Times New Roman" w:eastAsia="Times New Roman" w:hAnsi="Times New Roman" w:cs="Times New Roman"/>
                <w:sz w:val="24"/>
                <w:szCs w:val="24"/>
                <w:lang w:eastAsia="pl-PL"/>
              </w:rPr>
              <w:t xml:space="preserve"> szt.</w:t>
            </w:r>
          </w:p>
        </w:tc>
      </w:tr>
    </w:tbl>
    <w:p w14:paraId="39E91E54" w14:textId="77777777" w:rsidR="006906EA" w:rsidRPr="006906EA" w:rsidRDefault="006906EA" w:rsidP="006906EA">
      <w:pPr>
        <w:suppressAutoHyphens w:val="0"/>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5. Dodatkowe wymagania</w:t>
      </w:r>
    </w:p>
    <w:p w14:paraId="3F3D4E30" w14:textId="77777777" w:rsidR="006906EA" w:rsidRPr="006906EA" w:rsidRDefault="006906EA" w:rsidP="006906EA">
      <w:pPr>
        <w:numPr>
          <w:ilvl w:val="0"/>
          <w:numId w:val="4"/>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Wszystkie połączenia głosowe krajowe, wiadomości SMS i MMS powinny być realizowane bez dodatkowych opłat ponad miesięczny abonament.</w:t>
      </w:r>
    </w:p>
    <w:p w14:paraId="2DED60D4" w14:textId="77777777" w:rsidR="006906EA" w:rsidRPr="006906EA" w:rsidRDefault="006906EA" w:rsidP="006906EA">
      <w:pPr>
        <w:numPr>
          <w:ilvl w:val="0"/>
          <w:numId w:val="4"/>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lastRenderedPageBreak/>
        <w:t>Wykonawca zapewni ciągłość świadczenia usług podczas procesu przenoszenia numerów.</w:t>
      </w:r>
    </w:p>
    <w:p w14:paraId="06A8733F" w14:textId="77777777" w:rsidR="006906EA" w:rsidRPr="006906EA" w:rsidRDefault="006906EA" w:rsidP="006906EA">
      <w:pPr>
        <w:numPr>
          <w:ilvl w:val="0"/>
          <w:numId w:val="4"/>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Wszelkie koszty związane z aktywacją usług, przeniesieniem numerów oraz uruchomieniem kart SIM muszą zostać uwzględnione w cenie oferty.</w:t>
      </w:r>
    </w:p>
    <w:p w14:paraId="0759DD48" w14:textId="77777777" w:rsidR="006906EA" w:rsidRPr="006906EA" w:rsidRDefault="006906EA" w:rsidP="006906EA">
      <w:pPr>
        <w:numPr>
          <w:ilvl w:val="0"/>
          <w:numId w:val="4"/>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Wykonawca zapewni dostęp do sieci LTE oraz 5G wszędzie tam, gdzie posiada zasięg tej technologii.</w:t>
      </w:r>
    </w:p>
    <w:p w14:paraId="1D8AB8C6" w14:textId="77777777" w:rsidR="006906EA" w:rsidRPr="006906EA" w:rsidRDefault="006906EA" w:rsidP="006906EA">
      <w:pPr>
        <w:numPr>
          <w:ilvl w:val="0"/>
          <w:numId w:val="4"/>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Zamawiający zastrzega sobie możliwość zmiany liczby aktywnych kart SIM w okresie obowiązywania umowy w zakresie wynikającym z bieżących potrzeb organizacyjnych, przy zachowaniu warunków cenowych określonych w ofercie.</w:t>
      </w:r>
    </w:p>
    <w:p w14:paraId="6DDF3E72" w14:textId="77777777" w:rsidR="006906EA" w:rsidRPr="006906EA" w:rsidRDefault="006906EA" w:rsidP="006906EA">
      <w:pPr>
        <w:numPr>
          <w:ilvl w:val="0"/>
          <w:numId w:val="4"/>
        </w:numPr>
        <w:suppressAutoHyphens w:val="0"/>
        <w:spacing w:before="100" w:beforeAutospacing="1" w:after="100" w:afterAutospacing="1" w:line="240" w:lineRule="auto"/>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Rozliczenia będą prowadzone w okresach miesięcznych na podstawie jednej zbiorczej faktury obejmującej wszystkie aktywne usługi.</w:t>
      </w:r>
    </w:p>
    <w:p w14:paraId="286B964C" w14:textId="77777777" w:rsidR="006906EA" w:rsidRPr="006906EA" w:rsidRDefault="006906EA" w:rsidP="006906EA">
      <w:pPr>
        <w:suppressAutoHyphens w:val="0"/>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6906EA">
        <w:rPr>
          <w:rFonts w:ascii="Times New Roman" w:eastAsia="Times New Roman" w:hAnsi="Times New Roman" w:cs="Times New Roman"/>
          <w:b/>
          <w:bCs/>
          <w:sz w:val="24"/>
          <w:szCs w:val="24"/>
          <w:lang w:eastAsia="pl-PL"/>
        </w:rPr>
        <w:t>6. Termin realizacji</w:t>
      </w:r>
    </w:p>
    <w:p w14:paraId="4271B741" w14:textId="77777777" w:rsidR="006906EA" w:rsidRPr="006906EA" w:rsidRDefault="006906EA" w:rsidP="00F31BC0">
      <w:pPr>
        <w:suppressAutoHyphens w:val="0"/>
        <w:spacing w:before="100" w:beforeAutospacing="1" w:after="100" w:afterAutospacing="1" w:line="240" w:lineRule="auto"/>
        <w:ind w:firstLine="708"/>
        <w:rPr>
          <w:rFonts w:ascii="Times New Roman" w:eastAsia="Times New Roman" w:hAnsi="Times New Roman" w:cs="Times New Roman"/>
          <w:sz w:val="24"/>
          <w:szCs w:val="24"/>
          <w:lang w:eastAsia="pl-PL"/>
        </w:rPr>
      </w:pPr>
      <w:r w:rsidRPr="006906EA">
        <w:rPr>
          <w:rFonts w:ascii="Times New Roman" w:eastAsia="Times New Roman" w:hAnsi="Times New Roman" w:cs="Times New Roman"/>
          <w:sz w:val="24"/>
          <w:szCs w:val="24"/>
          <w:lang w:eastAsia="pl-PL"/>
        </w:rPr>
        <w:t xml:space="preserve">Świadczenie usług rozpocznie się po skutecznym przeniesieniu numerów do sieci Wykonawcy i będzie realizowane nieprzerwanie przez okres </w:t>
      </w:r>
      <w:r w:rsidRPr="006906EA">
        <w:rPr>
          <w:rFonts w:ascii="Times New Roman" w:eastAsia="Times New Roman" w:hAnsi="Times New Roman" w:cs="Times New Roman"/>
          <w:b/>
          <w:bCs/>
          <w:sz w:val="24"/>
          <w:szCs w:val="24"/>
          <w:lang w:eastAsia="pl-PL"/>
        </w:rPr>
        <w:t>24 miesięcy</w:t>
      </w:r>
      <w:r w:rsidRPr="006906EA">
        <w:rPr>
          <w:rFonts w:ascii="Times New Roman" w:eastAsia="Times New Roman" w:hAnsi="Times New Roman" w:cs="Times New Roman"/>
          <w:sz w:val="24"/>
          <w:szCs w:val="24"/>
          <w:lang w:eastAsia="pl-PL"/>
        </w:rPr>
        <w:t xml:space="preserve"> od dnia rozpoczęcia obowiązywania umowy.</w:t>
      </w:r>
    </w:p>
    <w:p w14:paraId="1204CB6B" w14:textId="77777777" w:rsidR="001E50CA" w:rsidRDefault="001E50CA">
      <w:pPr>
        <w:spacing w:before="840" w:after="0" w:line="240" w:lineRule="auto"/>
      </w:pPr>
    </w:p>
    <w:sectPr w:rsidR="001E50CA">
      <w:headerReference w:type="default" r:id="rId7"/>
      <w:footerReference w:type="default" r:id="rId8"/>
      <w:headerReference w:type="first" r:id="rId9"/>
      <w:footerReference w:type="first" r:id="rId10"/>
      <w:pgSz w:w="11906" w:h="16838"/>
      <w:pgMar w:top="649" w:right="851" w:bottom="1226" w:left="1134" w:header="593" w:footer="5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5CE8" w14:textId="77777777" w:rsidR="007C39A6" w:rsidRDefault="007C39A6">
      <w:pPr>
        <w:spacing w:after="0" w:line="240" w:lineRule="auto"/>
      </w:pPr>
      <w:r>
        <w:separator/>
      </w:r>
    </w:p>
  </w:endnote>
  <w:endnote w:type="continuationSeparator" w:id="0">
    <w:p w14:paraId="6605AD2A" w14:textId="77777777" w:rsidR="007C39A6" w:rsidRDefault="007C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57C8" w14:textId="77777777" w:rsidR="00E130B9" w:rsidRDefault="00E130B9">
    <w:pPr>
      <w:pStyle w:val="Stopka"/>
      <w:pBdr>
        <w:top w:val="none" w:sz="0" w:space="0" w:color="000000"/>
        <w:left w:val="none" w:sz="0" w:space="0" w:color="000000"/>
        <w:bottom w:val="none" w:sz="0" w:space="0" w:color="000000"/>
        <w:right w:val="none" w:sz="0" w:space="0" w:color="000000"/>
      </w:pBd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382B" w14:textId="77777777" w:rsidR="00E130B9" w:rsidRDefault="001E50CA">
    <w:pPr>
      <w:pStyle w:val="Stopka"/>
      <w:pBdr>
        <w:top w:val="none" w:sz="0" w:space="0" w:color="000000"/>
        <w:left w:val="none" w:sz="0" w:space="0" w:color="000000"/>
        <w:bottom w:val="none" w:sz="0" w:space="0" w:color="000000"/>
        <w:right w:val="none" w:sz="0" w:space="0" w:color="000000"/>
      </w:pBdr>
      <w:ind w:left="1134" w:right="1983"/>
    </w:pPr>
    <w:r>
      <w:rPr>
        <w:noProof/>
      </w:rPr>
      <w:drawing>
        <wp:anchor distT="0" distB="0" distL="114935" distR="114935" simplePos="0" relativeHeight="251657216" behindDoc="1" locked="0" layoutInCell="1" allowOverlap="1" wp14:anchorId="77E14475" wp14:editId="180C3B83">
          <wp:simplePos x="0" y="0"/>
          <wp:positionH relativeFrom="column">
            <wp:posOffset>4832985</wp:posOffset>
          </wp:positionH>
          <wp:positionV relativeFrom="paragraph">
            <wp:posOffset>133350</wp:posOffset>
          </wp:positionV>
          <wp:extent cx="788670" cy="540385"/>
          <wp:effectExtent l="0" t="0" r="0" b="0"/>
          <wp:wrapNone/>
          <wp:docPr id="9439832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9" t="-32" r="-29" b="-32"/>
                  <a:stretch>
                    <a:fillRect/>
                  </a:stretch>
                </pic:blipFill>
                <pic:spPr bwMode="auto">
                  <a:xfrm>
                    <a:off x="0" y="0"/>
                    <a:ext cx="788670" cy="5403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sz w:val="14"/>
        <w:szCs w:val="14"/>
      </w:rPr>
      <w:t xml:space="preserve">                                                                   </w:t>
    </w:r>
  </w:p>
  <w:p w14:paraId="70A2CDDE" w14:textId="77777777" w:rsidR="00E130B9" w:rsidRDefault="001E50CA">
    <w:pPr>
      <w:pStyle w:val="Stopka"/>
      <w:pBdr>
        <w:top w:val="none" w:sz="0" w:space="0" w:color="000000"/>
        <w:left w:val="none" w:sz="0" w:space="0" w:color="000000"/>
        <w:bottom w:val="none" w:sz="0" w:space="0" w:color="000000"/>
        <w:right w:val="none" w:sz="0" w:space="0" w:color="000000"/>
      </w:pBdr>
      <w:ind w:left="1134" w:right="1983"/>
    </w:pPr>
    <w:r>
      <w:rPr>
        <w:noProof/>
      </w:rPr>
      <w:drawing>
        <wp:anchor distT="0" distB="0" distL="114935" distR="114935" simplePos="0" relativeHeight="251658240" behindDoc="1" locked="0" layoutInCell="1" allowOverlap="1" wp14:anchorId="2853BF92" wp14:editId="2FE9199C">
          <wp:simplePos x="0" y="0"/>
          <wp:positionH relativeFrom="column">
            <wp:posOffset>474345</wp:posOffset>
          </wp:positionH>
          <wp:positionV relativeFrom="paragraph">
            <wp:posOffset>-41275</wp:posOffset>
          </wp:positionV>
          <wp:extent cx="569595" cy="574675"/>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221" t="-229" r="-221" b="-229"/>
                  <a:stretch>
                    <a:fillRect/>
                  </a:stretch>
                </pic:blipFill>
                <pic:spPr bwMode="auto">
                  <a:xfrm>
                    <a:off x="0" y="0"/>
                    <a:ext cx="569595" cy="5746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sz w:val="14"/>
        <w:szCs w:val="14"/>
      </w:rPr>
      <w:t xml:space="preserve">                                                                   </w:t>
    </w:r>
    <w:r>
      <w:rPr>
        <w:sz w:val="12"/>
        <w:szCs w:val="12"/>
      </w:rPr>
      <w:t xml:space="preserve">66-400 Gorzów Wlkp., ul. Dekerta 1   tel.  </w:t>
    </w:r>
    <w:r w:rsidRPr="0058468B">
      <w:rPr>
        <w:sz w:val="12"/>
        <w:szCs w:val="12"/>
      </w:rPr>
      <w:t xml:space="preserve">95 782 7101 </w:t>
    </w:r>
  </w:p>
  <w:p w14:paraId="30C0AE6B" w14:textId="77777777" w:rsidR="00E130B9" w:rsidRDefault="00000000">
    <w:pPr>
      <w:pStyle w:val="Stopka"/>
      <w:pBdr>
        <w:top w:val="none" w:sz="0" w:space="0" w:color="000000"/>
        <w:left w:val="none" w:sz="0" w:space="0" w:color="000000"/>
        <w:bottom w:val="none" w:sz="0" w:space="0" w:color="000000"/>
        <w:right w:val="none" w:sz="0" w:space="0" w:color="000000"/>
      </w:pBdr>
      <w:tabs>
        <w:tab w:val="left" w:pos="2280"/>
        <w:tab w:val="center" w:pos="4111"/>
      </w:tabs>
      <w:ind w:left="1134" w:right="1983"/>
    </w:pPr>
    <w:r w:rsidRPr="0058468B">
      <w:rPr>
        <w:sz w:val="12"/>
        <w:szCs w:val="12"/>
      </w:rPr>
      <w:tab/>
    </w:r>
    <w:r w:rsidRPr="0058468B">
      <w:rPr>
        <w:sz w:val="12"/>
        <w:szCs w:val="12"/>
      </w:rPr>
      <w:tab/>
      <w:t xml:space="preserve">                              E-mail: sekretariat@szpital.gorzow.pl</w:t>
    </w:r>
  </w:p>
  <w:p w14:paraId="6AF00095" w14:textId="77777777" w:rsidR="00E130B9" w:rsidRDefault="00000000">
    <w:pPr>
      <w:pStyle w:val="Stopka"/>
      <w:pBdr>
        <w:top w:val="none" w:sz="0" w:space="0" w:color="000000"/>
        <w:left w:val="none" w:sz="0" w:space="0" w:color="000000"/>
        <w:bottom w:val="none" w:sz="0" w:space="0" w:color="000000"/>
        <w:right w:val="none" w:sz="0" w:space="0" w:color="000000"/>
      </w:pBdr>
      <w:ind w:left="3258" w:right="1983"/>
    </w:pPr>
    <w:r w:rsidRPr="0058468B">
      <w:rPr>
        <w:sz w:val="12"/>
        <w:szCs w:val="12"/>
      </w:rPr>
      <w:t xml:space="preserve">           </w:t>
    </w:r>
    <w:r>
      <w:rPr>
        <w:sz w:val="12"/>
        <w:szCs w:val="12"/>
      </w:rPr>
      <w:t>NIP 599-31-68-108, REGON 211228381</w:t>
    </w:r>
  </w:p>
  <w:p w14:paraId="1453396F" w14:textId="77777777" w:rsidR="00E130B9" w:rsidRDefault="00000000">
    <w:pPr>
      <w:pStyle w:val="Stopka"/>
      <w:pBdr>
        <w:top w:val="none" w:sz="0" w:space="0" w:color="000000"/>
        <w:left w:val="none" w:sz="0" w:space="0" w:color="000000"/>
        <w:bottom w:val="none" w:sz="0" w:space="0" w:color="000000"/>
        <w:right w:val="none" w:sz="0" w:space="0" w:color="000000"/>
      </w:pBdr>
      <w:ind w:left="1134" w:right="1983"/>
      <w:jc w:val="center"/>
    </w:pPr>
    <w:r>
      <w:rPr>
        <w:sz w:val="12"/>
        <w:szCs w:val="12"/>
      </w:rPr>
      <w:t xml:space="preserve">   Sąd Rejonowy w Zielonej Górze  VIII Wydział Gospodarczy,</w:t>
    </w:r>
  </w:p>
  <w:p w14:paraId="57CF20FA" w14:textId="77777777" w:rsidR="00E130B9" w:rsidRDefault="00000000">
    <w:pPr>
      <w:pStyle w:val="Stopka"/>
      <w:pBdr>
        <w:top w:val="none" w:sz="0" w:space="0" w:color="000000"/>
        <w:left w:val="none" w:sz="0" w:space="0" w:color="000000"/>
        <w:bottom w:val="none" w:sz="0" w:space="0" w:color="000000"/>
        <w:right w:val="none" w:sz="0" w:space="0" w:color="000000"/>
      </w:pBdr>
      <w:ind w:left="2550" w:right="1983" w:firstLine="282"/>
    </w:pPr>
    <w:r>
      <w:rPr>
        <w:sz w:val="12"/>
        <w:szCs w:val="12"/>
      </w:rPr>
      <w:t xml:space="preserve">                KRS  0000476259  Kapitał założycielski  64 102 000,00</w:t>
    </w:r>
  </w:p>
  <w:p w14:paraId="403105DD" w14:textId="77777777" w:rsidR="00E130B9" w:rsidRDefault="00E130B9">
    <w:pPr>
      <w:pStyle w:val="Stopka"/>
      <w:pBdr>
        <w:top w:val="none" w:sz="0" w:space="0" w:color="000000"/>
        <w:left w:val="none" w:sz="0" w:space="0" w:color="000000"/>
        <w:bottom w:val="none" w:sz="0" w:space="0" w:color="000000"/>
        <w:right w:val="none" w:sz="0" w:space="0" w:color="000000"/>
      </w:pBdr>
      <w:ind w:left="1134" w:right="1983"/>
      <w:rPr>
        <w:sz w:val="12"/>
        <w:szCs w:val="12"/>
      </w:rPr>
    </w:pPr>
  </w:p>
  <w:p w14:paraId="33BAD078" w14:textId="77777777" w:rsidR="00E130B9" w:rsidRDefault="00E130B9">
    <w:pPr>
      <w:pStyle w:val="Stopka"/>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46E9" w14:textId="77777777" w:rsidR="007C39A6" w:rsidRDefault="007C39A6">
      <w:pPr>
        <w:spacing w:after="0" w:line="240" w:lineRule="auto"/>
      </w:pPr>
      <w:r>
        <w:separator/>
      </w:r>
    </w:p>
  </w:footnote>
  <w:footnote w:type="continuationSeparator" w:id="0">
    <w:p w14:paraId="23D0A366" w14:textId="77777777" w:rsidR="007C39A6" w:rsidRDefault="007C3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DD2F" w14:textId="77777777" w:rsidR="00E130B9" w:rsidRDefault="00E130B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6BC7" w14:textId="77777777" w:rsidR="00E130B9" w:rsidRDefault="001E50CA">
    <w:pPr>
      <w:pStyle w:val="Nagwek"/>
      <w:ind w:left="142" w:hanging="142"/>
    </w:pPr>
    <w:r>
      <w:rPr>
        <w:noProof/>
        <w:lang w:eastAsia="pl-PL"/>
      </w:rPr>
      <w:drawing>
        <wp:inline distT="0" distB="0" distL="0" distR="0" wp14:anchorId="4E8ADD18" wp14:editId="4050D3FC">
          <wp:extent cx="3238500" cy="7334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0" t="-90" r="-20" b="-90"/>
                  <a:stretch>
                    <a:fillRect/>
                  </a:stretch>
                </pic:blipFill>
                <pic:spPr bwMode="auto">
                  <a:xfrm>
                    <a:off x="0" y="0"/>
                    <a:ext cx="3238500" cy="73342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3B462C23"/>
    <w:multiLevelType w:val="multilevel"/>
    <w:tmpl w:val="F692EC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317512"/>
    <w:multiLevelType w:val="multilevel"/>
    <w:tmpl w:val="FF0C05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7C5217"/>
    <w:multiLevelType w:val="multilevel"/>
    <w:tmpl w:val="1004C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254B81"/>
    <w:multiLevelType w:val="multilevel"/>
    <w:tmpl w:val="BE1A88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3712276">
    <w:abstractNumId w:val="0"/>
  </w:num>
  <w:num w:numId="2" w16cid:durableId="1260987595">
    <w:abstractNumId w:val="1"/>
  </w:num>
  <w:num w:numId="3" w16cid:durableId="115611426">
    <w:abstractNumId w:val="2"/>
  </w:num>
  <w:num w:numId="4" w16cid:durableId="773405713">
    <w:abstractNumId w:val="3"/>
  </w:num>
  <w:num w:numId="5" w16cid:durableId="161550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EA"/>
    <w:rsid w:val="000324BD"/>
    <w:rsid w:val="001E50CA"/>
    <w:rsid w:val="002253E5"/>
    <w:rsid w:val="00230AA2"/>
    <w:rsid w:val="00241A28"/>
    <w:rsid w:val="0033762B"/>
    <w:rsid w:val="0058468B"/>
    <w:rsid w:val="005A1B2B"/>
    <w:rsid w:val="005B1D56"/>
    <w:rsid w:val="006906EA"/>
    <w:rsid w:val="00785667"/>
    <w:rsid w:val="007C39A6"/>
    <w:rsid w:val="00947E7B"/>
    <w:rsid w:val="00963E56"/>
    <w:rsid w:val="009D78D6"/>
    <w:rsid w:val="00A61EA9"/>
    <w:rsid w:val="00A62F80"/>
    <w:rsid w:val="00AD09DD"/>
    <w:rsid w:val="00AD39C1"/>
    <w:rsid w:val="00B96883"/>
    <w:rsid w:val="00C346C8"/>
    <w:rsid w:val="00CA61A5"/>
    <w:rsid w:val="00CE43E4"/>
    <w:rsid w:val="00D27BDD"/>
    <w:rsid w:val="00E130B9"/>
    <w:rsid w:val="00E46677"/>
    <w:rsid w:val="00ED2292"/>
    <w:rsid w:val="00EF5991"/>
    <w:rsid w:val="00F31BC0"/>
    <w:rsid w:val="00F32F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11D8BC4"/>
  <w15:chartTrackingRefBased/>
  <w15:docId w15:val="{4D8F7904-7F30-4DEA-AC54-A4D832571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4" w:lineRule="auto"/>
    </w:pPr>
    <w:rPr>
      <w:rFonts w:ascii="Calibri" w:hAnsi="Calibri" w:cs="Calibri"/>
      <w:sz w:val="22"/>
      <w:szCs w:val="22"/>
      <w:lang w:eastAsia="zh-CN"/>
    </w:rPr>
  </w:style>
  <w:style w:type="paragraph" w:styleId="Nagwek1">
    <w:name w:val="heading 1"/>
    <w:basedOn w:val="Normalny"/>
    <w:next w:val="Normalny"/>
    <w:qFormat/>
    <w:pPr>
      <w:keepNext/>
      <w:keepLines/>
      <w:numPr>
        <w:numId w:val="1"/>
      </w:numPr>
      <w:spacing w:before="360" w:after="80"/>
      <w:outlineLvl w:val="0"/>
    </w:pPr>
    <w:rPr>
      <w:rFonts w:ascii="Aptos Display" w:eastAsia="Times New Roman" w:hAnsi="Aptos Display" w:cs="Times New Roman"/>
      <w:color w:val="0F4761"/>
      <w:sz w:val="40"/>
      <w:szCs w:val="40"/>
    </w:rPr>
  </w:style>
  <w:style w:type="paragraph" w:styleId="Nagwek2">
    <w:name w:val="heading 2"/>
    <w:basedOn w:val="Normalny"/>
    <w:next w:val="Normalny"/>
    <w:qFormat/>
    <w:pPr>
      <w:keepNext/>
      <w:keepLines/>
      <w:numPr>
        <w:ilvl w:val="1"/>
        <w:numId w:val="1"/>
      </w:numPr>
      <w:spacing w:before="160" w:after="80"/>
      <w:outlineLvl w:val="1"/>
    </w:pPr>
    <w:rPr>
      <w:rFonts w:ascii="Aptos Display" w:eastAsia="Times New Roman" w:hAnsi="Aptos Display" w:cs="Times New Roman"/>
      <w:color w:val="0F4761"/>
      <w:sz w:val="32"/>
      <w:szCs w:val="32"/>
    </w:rPr>
  </w:style>
  <w:style w:type="paragraph" w:styleId="Nagwek3">
    <w:name w:val="heading 3"/>
    <w:basedOn w:val="Normalny"/>
    <w:next w:val="Normalny"/>
    <w:qFormat/>
    <w:pPr>
      <w:keepNext/>
      <w:keepLines/>
      <w:numPr>
        <w:ilvl w:val="2"/>
        <w:numId w:val="1"/>
      </w:numPr>
      <w:spacing w:before="160" w:after="80"/>
      <w:outlineLvl w:val="2"/>
    </w:pPr>
    <w:rPr>
      <w:rFonts w:ascii="Aptos" w:eastAsia="Times New Roman" w:hAnsi="Aptos" w:cs="Times New Roman"/>
      <w:color w:val="0F4761"/>
      <w:sz w:val="28"/>
      <w:szCs w:val="28"/>
    </w:rPr>
  </w:style>
  <w:style w:type="paragraph" w:styleId="Nagwek4">
    <w:name w:val="heading 4"/>
    <w:basedOn w:val="Normalny"/>
    <w:next w:val="Normalny"/>
    <w:qFormat/>
    <w:pPr>
      <w:keepNext/>
      <w:keepLines/>
      <w:numPr>
        <w:ilvl w:val="3"/>
        <w:numId w:val="1"/>
      </w:numPr>
      <w:spacing w:before="80" w:after="40"/>
      <w:outlineLvl w:val="3"/>
    </w:pPr>
    <w:rPr>
      <w:rFonts w:ascii="Aptos" w:eastAsia="Times New Roman" w:hAnsi="Aptos" w:cs="Times New Roman"/>
      <w:i/>
      <w:iCs/>
      <w:color w:val="0F4761"/>
    </w:rPr>
  </w:style>
  <w:style w:type="paragraph" w:styleId="Nagwek5">
    <w:name w:val="heading 5"/>
    <w:basedOn w:val="Normalny"/>
    <w:next w:val="Normalny"/>
    <w:qFormat/>
    <w:pPr>
      <w:keepNext/>
      <w:keepLines/>
      <w:numPr>
        <w:ilvl w:val="4"/>
        <w:numId w:val="1"/>
      </w:numPr>
      <w:spacing w:before="80" w:after="40"/>
      <w:outlineLvl w:val="4"/>
    </w:pPr>
    <w:rPr>
      <w:rFonts w:ascii="Aptos" w:eastAsia="Times New Roman" w:hAnsi="Aptos" w:cs="Times New Roman"/>
      <w:color w:val="0F4761"/>
    </w:rPr>
  </w:style>
  <w:style w:type="paragraph" w:styleId="Nagwek6">
    <w:name w:val="heading 6"/>
    <w:basedOn w:val="Normalny"/>
    <w:next w:val="Normalny"/>
    <w:qFormat/>
    <w:pPr>
      <w:keepNext/>
      <w:keepLines/>
      <w:numPr>
        <w:ilvl w:val="5"/>
        <w:numId w:val="1"/>
      </w:numPr>
      <w:spacing w:before="40" w:after="0"/>
      <w:outlineLvl w:val="5"/>
    </w:pPr>
    <w:rPr>
      <w:rFonts w:ascii="Aptos" w:eastAsia="Times New Roman" w:hAnsi="Aptos" w:cs="Times New Roman"/>
      <w:i/>
      <w:iCs/>
      <w:color w:val="595959"/>
    </w:rPr>
  </w:style>
  <w:style w:type="paragraph" w:styleId="Nagwek7">
    <w:name w:val="heading 7"/>
    <w:basedOn w:val="Normalny"/>
    <w:next w:val="Normalny"/>
    <w:qFormat/>
    <w:pPr>
      <w:keepNext/>
      <w:keepLines/>
      <w:numPr>
        <w:ilvl w:val="6"/>
        <w:numId w:val="1"/>
      </w:numPr>
      <w:spacing w:before="40" w:after="0"/>
      <w:outlineLvl w:val="6"/>
    </w:pPr>
    <w:rPr>
      <w:rFonts w:ascii="Aptos" w:eastAsia="Times New Roman" w:hAnsi="Aptos" w:cs="Times New Roman"/>
      <w:color w:val="595959"/>
    </w:rPr>
  </w:style>
  <w:style w:type="paragraph" w:styleId="Nagwek8">
    <w:name w:val="heading 8"/>
    <w:basedOn w:val="Normalny"/>
    <w:next w:val="Normalny"/>
    <w:qFormat/>
    <w:pPr>
      <w:keepNext/>
      <w:keepLines/>
      <w:numPr>
        <w:ilvl w:val="7"/>
        <w:numId w:val="1"/>
      </w:numPr>
      <w:spacing w:after="0"/>
      <w:outlineLvl w:val="7"/>
    </w:pPr>
    <w:rPr>
      <w:rFonts w:ascii="Aptos" w:eastAsia="Times New Roman" w:hAnsi="Aptos" w:cs="Times New Roman"/>
      <w:i/>
      <w:iCs/>
      <w:color w:val="272727"/>
    </w:rPr>
  </w:style>
  <w:style w:type="paragraph" w:styleId="Nagwek9">
    <w:name w:val="heading 9"/>
    <w:basedOn w:val="Normalny"/>
    <w:next w:val="Normalny"/>
    <w:qFormat/>
    <w:pPr>
      <w:keepNext/>
      <w:keepLines/>
      <w:numPr>
        <w:ilvl w:val="8"/>
        <w:numId w:val="1"/>
      </w:numPr>
      <w:spacing w:after="0"/>
      <w:outlineLvl w:val="8"/>
    </w:pPr>
    <w:rPr>
      <w:rFonts w:ascii="Aptos" w:eastAsia="Times New Roman" w:hAnsi="Aptos" w:cs="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2">
    <w:name w:val="Domyślna czcionka akapitu2"/>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styleId="Hipercze">
    <w:name w:val="Hyperlink"/>
    <w:rPr>
      <w:color w:val="000080"/>
      <w:u w:val="single"/>
    </w:rPr>
  </w:style>
  <w:style w:type="character" w:customStyle="1" w:styleId="TekstpodstawowyZnak">
    <w:name w:val="Tekst podstawowy Znak"/>
    <w:rPr>
      <w:rFonts w:ascii="Calibri" w:eastAsia="SimSun" w:hAnsi="Calibri" w:cs="Lucida Sans"/>
      <w:kern w:val="2"/>
      <w:sz w:val="24"/>
      <w:szCs w:val="24"/>
      <w:lang w:eastAsia="zh-CN" w:bidi="hi-IN"/>
    </w:rPr>
  </w:style>
  <w:style w:type="character" w:customStyle="1" w:styleId="TekstdymkaZnak">
    <w:name w:val="Tekst dymka Znak"/>
    <w:rPr>
      <w:rFonts w:ascii="Segoe UI" w:hAnsi="Segoe UI" w:cs="Segoe UI"/>
      <w:sz w:val="18"/>
      <w:szCs w:val="18"/>
    </w:rPr>
  </w:style>
  <w:style w:type="character" w:customStyle="1" w:styleId="Nagwek1Znak">
    <w:name w:val="Nagłówek 1 Znak"/>
    <w:rPr>
      <w:rFonts w:ascii="Aptos Display" w:eastAsia="Times New Roman" w:hAnsi="Aptos Display" w:cs="Times New Roman"/>
      <w:color w:val="0F4761"/>
      <w:sz w:val="40"/>
      <w:szCs w:val="40"/>
    </w:rPr>
  </w:style>
  <w:style w:type="character" w:customStyle="1" w:styleId="Nagwek2Znak">
    <w:name w:val="Nagłówek 2 Znak"/>
    <w:rPr>
      <w:rFonts w:ascii="Aptos Display" w:eastAsia="Times New Roman" w:hAnsi="Aptos Display" w:cs="Times New Roman"/>
      <w:color w:val="0F4761"/>
      <w:sz w:val="32"/>
      <w:szCs w:val="32"/>
    </w:rPr>
  </w:style>
  <w:style w:type="character" w:customStyle="1" w:styleId="Nagwek3Znak">
    <w:name w:val="Nagłówek 3 Znak"/>
    <w:rPr>
      <w:rFonts w:ascii="Aptos" w:eastAsia="Times New Roman" w:hAnsi="Aptos" w:cs="Times New Roman"/>
      <w:color w:val="0F4761"/>
      <w:sz w:val="28"/>
      <w:szCs w:val="28"/>
    </w:rPr>
  </w:style>
  <w:style w:type="character" w:customStyle="1" w:styleId="Nagwek4Znak">
    <w:name w:val="Nagłówek 4 Znak"/>
    <w:rPr>
      <w:rFonts w:ascii="Aptos" w:eastAsia="Times New Roman" w:hAnsi="Aptos" w:cs="Times New Roman"/>
      <w:i/>
      <w:iCs/>
      <w:color w:val="0F4761"/>
      <w:sz w:val="22"/>
      <w:szCs w:val="22"/>
    </w:rPr>
  </w:style>
  <w:style w:type="character" w:customStyle="1" w:styleId="Nagwek5Znak">
    <w:name w:val="Nagłówek 5 Znak"/>
    <w:rPr>
      <w:rFonts w:ascii="Aptos" w:eastAsia="Times New Roman" w:hAnsi="Aptos" w:cs="Times New Roman"/>
      <w:color w:val="0F4761"/>
      <w:sz w:val="22"/>
      <w:szCs w:val="22"/>
    </w:rPr>
  </w:style>
  <w:style w:type="character" w:customStyle="1" w:styleId="Nagwek6Znak">
    <w:name w:val="Nagłówek 6 Znak"/>
    <w:rPr>
      <w:rFonts w:ascii="Aptos" w:eastAsia="Times New Roman" w:hAnsi="Aptos" w:cs="Times New Roman"/>
      <w:i/>
      <w:iCs/>
      <w:color w:val="595959"/>
      <w:sz w:val="22"/>
      <w:szCs w:val="22"/>
    </w:rPr>
  </w:style>
  <w:style w:type="character" w:customStyle="1" w:styleId="Nagwek7Znak">
    <w:name w:val="Nagłówek 7 Znak"/>
    <w:rPr>
      <w:rFonts w:ascii="Aptos" w:eastAsia="Times New Roman" w:hAnsi="Aptos" w:cs="Times New Roman"/>
      <w:color w:val="595959"/>
      <w:sz w:val="22"/>
      <w:szCs w:val="22"/>
    </w:rPr>
  </w:style>
  <w:style w:type="character" w:customStyle="1" w:styleId="Nagwek8Znak">
    <w:name w:val="Nagłówek 8 Znak"/>
    <w:rPr>
      <w:rFonts w:ascii="Aptos" w:eastAsia="Times New Roman" w:hAnsi="Aptos" w:cs="Times New Roman"/>
      <w:i/>
      <w:iCs/>
      <w:color w:val="272727"/>
      <w:sz w:val="22"/>
      <w:szCs w:val="22"/>
    </w:rPr>
  </w:style>
  <w:style w:type="character" w:customStyle="1" w:styleId="Nagwek9Znak">
    <w:name w:val="Nagłówek 9 Znak"/>
    <w:rPr>
      <w:rFonts w:ascii="Aptos" w:eastAsia="Times New Roman" w:hAnsi="Aptos" w:cs="Times New Roman"/>
      <w:color w:val="272727"/>
      <w:sz w:val="22"/>
      <w:szCs w:val="22"/>
    </w:rPr>
  </w:style>
  <w:style w:type="character" w:customStyle="1" w:styleId="TytuZnak">
    <w:name w:val="Tytuł Znak"/>
    <w:rPr>
      <w:rFonts w:ascii="Aptos Display" w:eastAsia="Times New Roman" w:hAnsi="Aptos Display" w:cs="Times New Roman"/>
      <w:spacing w:val="-10"/>
      <w:kern w:val="2"/>
      <w:sz w:val="56"/>
      <w:szCs w:val="56"/>
    </w:rPr>
  </w:style>
  <w:style w:type="character" w:customStyle="1" w:styleId="PodtytuZnak">
    <w:name w:val="Podtytuł Znak"/>
    <w:rPr>
      <w:rFonts w:ascii="Aptos" w:eastAsia="Times New Roman" w:hAnsi="Aptos" w:cs="Times New Roman"/>
      <w:color w:val="595959"/>
      <w:spacing w:val="15"/>
      <w:sz w:val="28"/>
      <w:szCs w:val="28"/>
    </w:rPr>
  </w:style>
  <w:style w:type="character" w:customStyle="1" w:styleId="CytatZnak">
    <w:name w:val="Cytat Znak"/>
    <w:rPr>
      <w:i/>
      <w:iCs/>
      <w:color w:val="404040"/>
      <w:sz w:val="22"/>
      <w:szCs w:val="22"/>
    </w:rPr>
  </w:style>
  <w:style w:type="character" w:styleId="Wyrnienieintensywne">
    <w:name w:val="Intense Emphasis"/>
    <w:qFormat/>
    <w:rPr>
      <w:i/>
      <w:iCs/>
      <w:color w:val="0F4761"/>
    </w:rPr>
  </w:style>
  <w:style w:type="character" w:customStyle="1" w:styleId="CytatintensywnyZnak">
    <w:name w:val="Cytat intensywny Znak"/>
    <w:rPr>
      <w:i/>
      <w:iCs/>
      <w:color w:val="0F4761"/>
      <w:sz w:val="22"/>
      <w:szCs w:val="22"/>
    </w:rPr>
  </w:style>
  <w:style w:type="character" w:styleId="Odwoanieintensywne">
    <w:name w:val="Intense Reference"/>
    <w:qFormat/>
    <w:rPr>
      <w:b/>
      <w:bCs/>
      <w:smallCaps/>
      <w:color w:val="0F4761"/>
      <w:spacing w:val="5"/>
    </w:rPr>
  </w:style>
  <w:style w:type="paragraph" w:customStyle="1" w:styleId="Nagwek20">
    <w:name w:val="Nagłówek2"/>
    <w:basedOn w:val="Normalny"/>
    <w:next w:val="Tekstpodstawowy"/>
    <w:pPr>
      <w:keepNext/>
      <w:spacing w:before="240" w:after="120"/>
    </w:pPr>
    <w:rPr>
      <w:rFonts w:ascii="Liberation Sans" w:eastAsia="Microsoft YaHei" w:hAnsi="Liberation Sans" w:cs="Lucida Sans"/>
      <w:sz w:val="28"/>
      <w:szCs w:val="28"/>
    </w:rPr>
  </w:style>
  <w:style w:type="paragraph" w:styleId="Tekstpodstawowy">
    <w:name w:val="Body Text"/>
    <w:basedOn w:val="Normalny"/>
    <w:pPr>
      <w:pBdr>
        <w:top w:val="none" w:sz="0" w:space="0" w:color="000000"/>
        <w:left w:val="none" w:sz="0" w:space="0" w:color="000000"/>
        <w:bottom w:val="none" w:sz="0" w:space="0" w:color="000000"/>
        <w:right w:val="none" w:sz="0" w:space="0" w:color="000000"/>
      </w:pBdr>
      <w:spacing w:after="140" w:line="276" w:lineRule="auto"/>
    </w:pPr>
    <w:rPr>
      <w:rFonts w:eastAsia="SimSun" w:cs="Lucida Sans"/>
      <w:kern w:val="2"/>
      <w:sz w:val="24"/>
      <w:szCs w:val="24"/>
      <w:lang w:bidi="hi-IN"/>
    </w:rPr>
  </w:style>
  <w:style w:type="paragraph" w:styleId="Lista">
    <w:name w:val="List"/>
    <w:basedOn w:val="Tekstpodstawowy"/>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pPr>
      <w:suppressLineNumbers/>
    </w:pPr>
    <w:rPr>
      <w:rFonts w:cs="Times New Roman"/>
    </w:rPr>
  </w:style>
  <w:style w:type="paragraph" w:customStyle="1" w:styleId="Nagwek10">
    <w:name w:val="Nagłówek1"/>
    <w:basedOn w:val="Normalny"/>
    <w:next w:val="Normalny"/>
    <w:pPr>
      <w:spacing w:after="80" w:line="240" w:lineRule="auto"/>
      <w:contextualSpacing/>
    </w:pPr>
    <w:rPr>
      <w:rFonts w:ascii="Aptos Display" w:eastAsia="Times New Roman" w:hAnsi="Aptos Display" w:cs="Times New Roman"/>
      <w:spacing w:val="-10"/>
      <w:kern w:val="2"/>
      <w:sz w:val="56"/>
      <w:szCs w:val="56"/>
    </w:rPr>
  </w:style>
  <w:style w:type="paragraph" w:customStyle="1" w:styleId="Legenda1">
    <w:name w:val="Legenda1"/>
    <w:basedOn w:val="Normalny"/>
    <w:pPr>
      <w:suppressLineNumbers/>
      <w:spacing w:before="120" w:after="120"/>
    </w:pPr>
    <w:rPr>
      <w:rFonts w:cs="Lucida Sans"/>
      <w:i/>
      <w:iCs/>
      <w:sz w:val="24"/>
      <w:szCs w:val="24"/>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spacing w:after="0" w:line="240" w:lineRule="auto"/>
    </w:pPr>
  </w:style>
  <w:style w:type="paragraph" w:styleId="Stopka">
    <w:name w:val="footer"/>
    <w:basedOn w:val="Normalny"/>
    <w:pPr>
      <w:spacing w:after="0" w:line="240" w:lineRule="auto"/>
    </w:pPr>
  </w:style>
  <w:style w:type="paragraph" w:styleId="Tekstdymka">
    <w:name w:val="Balloon Text"/>
    <w:basedOn w:val="Normalny"/>
    <w:pPr>
      <w:spacing w:after="0" w:line="240" w:lineRule="auto"/>
    </w:pPr>
    <w:rPr>
      <w:rFonts w:ascii="Segoe UI" w:hAnsi="Segoe UI" w:cs="Segoe UI"/>
      <w:sz w:val="18"/>
      <w:szCs w:val="18"/>
    </w:rPr>
  </w:style>
  <w:style w:type="paragraph" w:styleId="Podtytu">
    <w:name w:val="Subtitle"/>
    <w:basedOn w:val="Normalny"/>
    <w:next w:val="Normalny"/>
    <w:qFormat/>
    <w:rPr>
      <w:rFonts w:ascii="Aptos" w:eastAsia="Times New Roman" w:hAnsi="Aptos" w:cs="Times New Roman"/>
      <w:color w:val="595959"/>
      <w:spacing w:val="15"/>
      <w:sz w:val="28"/>
      <w:szCs w:val="28"/>
    </w:rPr>
  </w:style>
  <w:style w:type="paragraph" w:styleId="Cytat">
    <w:name w:val="Quote"/>
    <w:basedOn w:val="Normalny"/>
    <w:next w:val="Normalny"/>
    <w:qFormat/>
    <w:pPr>
      <w:spacing w:before="160"/>
      <w:jc w:val="center"/>
    </w:pPr>
    <w:rPr>
      <w:i/>
      <w:iCs/>
      <w:color w:val="404040"/>
    </w:rPr>
  </w:style>
  <w:style w:type="paragraph" w:styleId="Akapitzlist">
    <w:name w:val="List Paragraph"/>
    <w:basedOn w:val="Normalny"/>
    <w:qFormat/>
    <w:pPr>
      <w:ind w:left="720"/>
      <w:contextualSpacing/>
    </w:pPr>
  </w:style>
  <w:style w:type="paragraph" w:styleId="Cytatintensywny">
    <w:name w:val="Intense Quote"/>
    <w:basedOn w:val="Normalny"/>
    <w:next w:val="Normalny"/>
    <w:qFormat/>
    <w:pPr>
      <w:pBdr>
        <w:top w:val="single" w:sz="4" w:space="10" w:color="0F4761"/>
        <w:left w:val="none" w:sz="0" w:space="0" w:color="000000"/>
        <w:bottom w:val="single" w:sz="4" w:space="10" w:color="0F4761"/>
        <w:right w:val="none" w:sz="0" w:space="0" w:color="000000"/>
      </w:pBdr>
      <w:spacing w:before="360" w:after="360"/>
      <w:ind w:left="864" w:right="864"/>
      <w:jc w:val="center"/>
    </w:pPr>
    <w:rPr>
      <w:i/>
      <w:iCs/>
      <w:color w:val="0F4761"/>
    </w:rPr>
  </w:style>
  <w:style w:type="paragraph" w:styleId="Tytu">
    <w:name w:val="Title"/>
    <w:basedOn w:val="Normalny"/>
    <w:next w:val="Normalny"/>
    <w:link w:val="TytuZnak1"/>
    <w:uiPriority w:val="10"/>
    <w:qFormat/>
    <w:rsid w:val="00690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1">
    <w:name w:val="Tytuł Znak1"/>
    <w:basedOn w:val="Domylnaczcionkaakapitu"/>
    <w:link w:val="Tytu"/>
    <w:uiPriority w:val="10"/>
    <w:rsid w:val="006906EA"/>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673019">
      <w:bodyDiv w:val="1"/>
      <w:marLeft w:val="0"/>
      <w:marRight w:val="0"/>
      <w:marTop w:val="0"/>
      <w:marBottom w:val="0"/>
      <w:divBdr>
        <w:top w:val="none" w:sz="0" w:space="0" w:color="auto"/>
        <w:left w:val="none" w:sz="0" w:space="0" w:color="auto"/>
        <w:bottom w:val="none" w:sz="0" w:space="0" w:color="auto"/>
        <w:right w:val="none" w:sz="0" w:space="0" w:color="auto"/>
      </w:divBdr>
    </w:div>
    <w:div w:id="161621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773</Words>
  <Characters>4642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Tomkiewicz Marian</dc:creator>
  <cp:keywords/>
  <dc:description/>
  <cp:lastModifiedBy>Robert Kowalski</cp:lastModifiedBy>
  <cp:revision>3</cp:revision>
  <cp:lastPrinted>2018-09-06T07:15:00Z</cp:lastPrinted>
  <dcterms:created xsi:type="dcterms:W3CDTF">2026-07-24T09:29:00Z</dcterms:created>
  <dcterms:modified xsi:type="dcterms:W3CDTF">2026-07-27T11:21:00Z</dcterms:modified>
</cp:coreProperties>
</file>